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03" w:rsidRPr="00D01282" w:rsidRDefault="00161F03" w:rsidP="00D01282">
      <w:pPr>
        <w:widowControl/>
        <w:spacing w:beforeLines="200" w:afterLines="100" w:line="360" w:lineRule="auto"/>
        <w:jc w:val="center"/>
        <w:outlineLvl w:val="0"/>
        <w:rPr>
          <w:rFonts w:ascii="宋体" w:hAnsi="宋体" w:cs="宋体"/>
          <w:bCs/>
          <w:kern w:val="36"/>
          <w:sz w:val="48"/>
          <w:szCs w:val="48"/>
        </w:rPr>
      </w:pPr>
      <w:r w:rsidRPr="00D01282">
        <w:rPr>
          <w:rFonts w:ascii="方正小标宋简体" w:eastAsia="方正小标宋简体" w:hAnsi="宋体" w:cs="宋体"/>
          <w:bCs/>
          <w:kern w:val="36"/>
          <w:sz w:val="44"/>
          <w:szCs w:val="44"/>
        </w:rPr>
        <w:t>教育部关于2019</w:t>
      </w:r>
      <w:r w:rsidR="00404985" w:rsidRPr="00D01282">
        <w:rPr>
          <w:rFonts w:ascii="方正小标宋简体" w:eastAsia="方正小标宋简体" w:hAnsi="宋体" w:cs="宋体" w:hint="eastAsia"/>
          <w:bCs/>
          <w:kern w:val="36"/>
          <w:sz w:val="44"/>
          <w:szCs w:val="44"/>
        </w:rPr>
        <w:t>-</w:t>
      </w:r>
      <w:r w:rsidRPr="00D01282">
        <w:rPr>
          <w:rFonts w:ascii="方正小标宋简体" w:eastAsia="方正小标宋简体" w:hAnsi="宋体" w:cs="宋体"/>
          <w:bCs/>
          <w:kern w:val="36"/>
          <w:sz w:val="44"/>
          <w:szCs w:val="44"/>
        </w:rPr>
        <w:t>2021年基础学科</w:t>
      </w:r>
      <w:r w:rsidRPr="00D01282">
        <w:rPr>
          <w:rFonts w:ascii="方正小标宋简体" w:eastAsia="方正小标宋简体" w:hAnsi="宋体" w:cs="宋体"/>
          <w:bCs/>
          <w:kern w:val="36"/>
          <w:sz w:val="44"/>
          <w:szCs w:val="44"/>
        </w:rPr>
        <w:br/>
        <w:t>拔尖学生培养基地建设工作的通知</w:t>
      </w:r>
    </w:p>
    <w:p w:rsidR="00161F03" w:rsidRPr="00D01282" w:rsidRDefault="00161F03" w:rsidP="00D01282">
      <w:pPr>
        <w:widowControl/>
        <w:spacing w:beforeLines="150" w:afterLines="150" w:line="360" w:lineRule="auto"/>
        <w:jc w:val="right"/>
        <w:rPr>
          <w:rFonts w:ascii="仿宋_GB2312" w:eastAsia="仿宋_GB2312" w:hAnsi="宋体" w:cs="宋体"/>
          <w:kern w:val="0"/>
          <w:sz w:val="32"/>
          <w:szCs w:val="32"/>
        </w:rPr>
      </w:pPr>
      <w:proofErr w:type="gramStart"/>
      <w:r w:rsidRPr="00D01282">
        <w:rPr>
          <w:rFonts w:ascii="仿宋_GB2312" w:eastAsia="仿宋_GB2312" w:hAnsi="宋体" w:cs="宋体"/>
          <w:kern w:val="0"/>
          <w:sz w:val="32"/>
          <w:szCs w:val="32"/>
        </w:rPr>
        <w:t>教高函</w:t>
      </w:r>
      <w:proofErr w:type="gramEnd"/>
      <w:r w:rsidRPr="00D01282">
        <w:rPr>
          <w:rFonts w:ascii="仿宋_GB2312" w:eastAsia="仿宋_GB2312" w:hAnsi="宋体" w:cs="宋体"/>
          <w:kern w:val="0"/>
          <w:sz w:val="32"/>
          <w:szCs w:val="32"/>
        </w:rPr>
        <w:t>〔2019〕14号</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各省、自治区、直辖市教育厅（教委），新疆生产建设兵团教育局，有关部门（单位）教育司（局），部属各高等学校、部省合建各高等学校：</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为贯彻全国教育大会精神，根据《教育部关于加快建设高水平本科教育全面提高人才培养能力的意见》《教育部等六部门关于实施基础学科拔尖学生培养计划2.0的意见》等相关文件精神，深入实施基础学科拔尖学生培养计划2.0（以下简称拔尖计划2.0），加快培养基础学科拔尖人才。经研究，现就2019</w:t>
      </w:r>
      <w:r w:rsidRPr="00D01282">
        <w:rPr>
          <w:rFonts w:ascii="仿宋_GB2312" w:eastAsia="仿宋_GB2312" w:hAnsi="宋体" w:cs="宋体"/>
          <w:kern w:val="0"/>
          <w:sz w:val="32"/>
          <w:szCs w:val="32"/>
        </w:rPr>
        <w:t>—</w:t>
      </w:r>
      <w:r w:rsidRPr="00D01282">
        <w:rPr>
          <w:rFonts w:ascii="仿宋_GB2312" w:eastAsia="仿宋_GB2312" w:hAnsi="宋体" w:cs="宋体"/>
          <w:kern w:val="0"/>
          <w:sz w:val="32"/>
          <w:szCs w:val="32"/>
        </w:rPr>
        <w:t>2021年基础学科拔尖学生培养基地建设工作通知如下。</w:t>
      </w:r>
    </w:p>
    <w:p w:rsidR="00161F03" w:rsidRPr="00D01282" w:rsidRDefault="00161F03" w:rsidP="00D77903">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w:t>
      </w:r>
      <w:r w:rsidRPr="00D01282">
        <w:rPr>
          <w:rFonts w:ascii="黑体" w:eastAsia="黑体" w:hAnsi="黑体" w:cs="宋体"/>
          <w:bCs/>
          <w:kern w:val="0"/>
          <w:sz w:val="32"/>
          <w:szCs w:val="32"/>
        </w:rPr>
        <w:t>一、指导思想</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以习近平新时代中国特色社会主义思想为指导，深入贯彻党的十九大精神，落实全国教育大会精神，全面落实新时代全国高等学校本科教育工作会议精神，坚持立德树人，遵循基础学科拔尖创新人才成长规律，以体制机制创新和教育教学改革为重点，强化使命驱动，注重大师引领，创新学习</w:t>
      </w:r>
      <w:r w:rsidRPr="00D01282">
        <w:rPr>
          <w:rFonts w:ascii="仿宋_GB2312" w:eastAsia="仿宋_GB2312" w:hAnsi="宋体" w:cs="宋体"/>
          <w:kern w:val="0"/>
          <w:sz w:val="32"/>
          <w:szCs w:val="32"/>
        </w:rPr>
        <w:lastRenderedPageBreak/>
        <w:t>方式，提升综合素养，促进学科交叉、科教融合，深化国际合作，科学</w:t>
      </w:r>
      <w:proofErr w:type="gramStart"/>
      <w:r w:rsidRPr="00D01282">
        <w:rPr>
          <w:rFonts w:ascii="仿宋_GB2312" w:eastAsia="仿宋_GB2312" w:hAnsi="宋体" w:cs="宋体"/>
          <w:kern w:val="0"/>
          <w:sz w:val="32"/>
          <w:szCs w:val="32"/>
        </w:rPr>
        <w:t>选才鉴才相</w:t>
      </w:r>
      <w:proofErr w:type="gramEnd"/>
      <w:r w:rsidRPr="00D01282">
        <w:rPr>
          <w:rFonts w:ascii="仿宋_GB2312" w:eastAsia="仿宋_GB2312" w:hAnsi="宋体" w:cs="宋体"/>
          <w:kern w:val="0"/>
          <w:sz w:val="32"/>
          <w:szCs w:val="32"/>
        </w:rPr>
        <w:t>结合，进一步拓围、增量、提质、创新，对</w:t>
      </w:r>
      <w:proofErr w:type="gramStart"/>
      <w:r w:rsidRPr="00D01282">
        <w:rPr>
          <w:rFonts w:ascii="仿宋_GB2312" w:eastAsia="仿宋_GB2312" w:hAnsi="宋体" w:cs="宋体"/>
          <w:kern w:val="0"/>
          <w:sz w:val="32"/>
          <w:szCs w:val="32"/>
        </w:rPr>
        <w:t>标国际</w:t>
      </w:r>
      <w:proofErr w:type="gramEnd"/>
      <w:r w:rsidRPr="00D01282">
        <w:rPr>
          <w:rFonts w:ascii="仿宋_GB2312" w:eastAsia="仿宋_GB2312" w:hAnsi="宋体" w:cs="宋体"/>
          <w:kern w:val="0"/>
          <w:sz w:val="32"/>
          <w:szCs w:val="32"/>
        </w:rPr>
        <w:t>先进水平，建设基础学科拔尖学生培养一流基地，着力培养未来的杰出自然科学家、社会科学家和医学科学家，提升国家硬实力、</w:t>
      </w:r>
      <w:proofErr w:type="gramStart"/>
      <w:r w:rsidRPr="00D01282">
        <w:rPr>
          <w:rFonts w:ascii="仿宋_GB2312" w:eastAsia="仿宋_GB2312" w:hAnsi="宋体" w:cs="宋体"/>
          <w:kern w:val="0"/>
          <w:sz w:val="32"/>
          <w:szCs w:val="32"/>
        </w:rPr>
        <w:t>软实力</w:t>
      </w:r>
      <w:proofErr w:type="gramEnd"/>
      <w:r w:rsidRPr="00D01282">
        <w:rPr>
          <w:rFonts w:ascii="仿宋_GB2312" w:eastAsia="仿宋_GB2312" w:hAnsi="宋体" w:cs="宋体"/>
          <w:kern w:val="0"/>
          <w:sz w:val="32"/>
          <w:szCs w:val="32"/>
        </w:rPr>
        <w:t>和健康力，为把我国建设成为世界主要科学中心和创新高地奠定人才基础。</w:t>
      </w:r>
    </w:p>
    <w:p w:rsidR="00161F03" w:rsidRPr="00D01282" w:rsidRDefault="00161F03" w:rsidP="00D77903">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w:t>
      </w:r>
      <w:r w:rsidRPr="00D01282">
        <w:rPr>
          <w:rFonts w:ascii="黑体" w:eastAsia="黑体" w:hAnsi="黑体" w:cs="宋体"/>
          <w:bCs/>
          <w:kern w:val="0"/>
          <w:sz w:val="32"/>
          <w:szCs w:val="32"/>
        </w:rPr>
        <w:t>二、建设目标</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2019</w:t>
      </w:r>
      <w:r w:rsidRPr="00D01282">
        <w:rPr>
          <w:rFonts w:ascii="仿宋_GB2312" w:eastAsia="仿宋_GB2312" w:hAnsi="宋体" w:cs="宋体"/>
          <w:kern w:val="0"/>
          <w:sz w:val="32"/>
          <w:szCs w:val="32"/>
        </w:rPr>
        <w:t>—</w:t>
      </w:r>
      <w:r w:rsidRPr="00D01282">
        <w:rPr>
          <w:rFonts w:ascii="仿宋_GB2312" w:eastAsia="仿宋_GB2312" w:hAnsi="宋体" w:cs="宋体"/>
          <w:kern w:val="0"/>
          <w:sz w:val="32"/>
          <w:szCs w:val="32"/>
        </w:rPr>
        <w:t>2021年，分年度在不同领域建设一批基础学科拔尖学生培养基地，建立健全符合不同领域基础学科拔尖学生重点培养的体制机制，引导优秀学生投身基础科学研究，形成有利于基础学科拔尖人才成长的良好氛围，实现教育理念与模式、教学内容与方法的改革创新，不断探索积累可推广的先进经验与优秀案例，初步形成中国特色、世界水平的基础学科拔尖人才培养体系，促进一批勇攀科学高峰、推动科学文化发展的优秀拔尖人才崭露头角。</w:t>
      </w:r>
    </w:p>
    <w:p w:rsidR="00161F03" w:rsidRPr="00D01282" w:rsidRDefault="00161F03" w:rsidP="00D77903">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w:t>
      </w:r>
      <w:r w:rsidRPr="00D01282">
        <w:rPr>
          <w:rFonts w:ascii="黑体" w:eastAsia="黑体" w:hAnsi="黑体" w:cs="宋体"/>
          <w:bCs/>
          <w:kern w:val="0"/>
          <w:sz w:val="32"/>
          <w:szCs w:val="32"/>
        </w:rPr>
        <w:t>三、基本原则</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坚持超前规划，长远布局。面向国家战略需求、人类未来发展、思想文化创新和基础学科前沿，超前谋划基础学科拔尖人才培养。尊重拔尖人才成长规律，坚持长周期支持、长周期观测、长周期评价，立足长远、厚植土壤、注重培育，从长计议、循序渐进、持续投入。</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lastRenderedPageBreak/>
        <w:t xml:space="preserve">　　坚持学校主体，协同联动。以学校为培养主体，鼓励自主化、多元化探索，加大校内政策、资源整合力度，建好基础学科拔尖学生培养基地。建立有关政府部门、事业单位、人民团体等多方联动的协同工作机制，统筹优质资源，提供良好保障。</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坚持聚焦中心，特色发展。以人才培养为核心，推进改革、汇聚大师、整合资源，努力构建中国特色、世界水平的基础学科拔尖人才培养体系。鼓励学校基于学科特点，在自然科学、哲学社会科学、基础医学三个领域开展自主探索、实现特色发展。</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坚持继承创新，开放交融。在前期探索的</w:t>
      </w:r>
      <w:r w:rsidRPr="00D01282">
        <w:rPr>
          <w:rFonts w:ascii="仿宋_GB2312" w:eastAsia="仿宋_GB2312" w:hAnsi="宋体" w:cs="宋体"/>
          <w:kern w:val="0"/>
          <w:sz w:val="32"/>
          <w:szCs w:val="32"/>
        </w:rPr>
        <w:t>“</w:t>
      </w:r>
      <w:r w:rsidRPr="00D01282">
        <w:rPr>
          <w:rFonts w:ascii="仿宋_GB2312" w:eastAsia="仿宋_GB2312" w:hAnsi="宋体" w:cs="宋体"/>
          <w:kern w:val="0"/>
          <w:sz w:val="32"/>
          <w:szCs w:val="32"/>
        </w:rPr>
        <w:t>一制三化</w:t>
      </w:r>
      <w:r w:rsidRPr="00D01282">
        <w:rPr>
          <w:rFonts w:ascii="仿宋_GB2312" w:eastAsia="仿宋_GB2312" w:hAnsi="宋体" w:cs="宋体"/>
          <w:kern w:val="0"/>
          <w:sz w:val="32"/>
          <w:szCs w:val="32"/>
        </w:rPr>
        <w:t>”</w:t>
      </w:r>
      <w:r w:rsidRPr="00D01282">
        <w:rPr>
          <w:rFonts w:ascii="仿宋_GB2312" w:eastAsia="仿宋_GB2312" w:hAnsi="宋体" w:cs="宋体"/>
          <w:kern w:val="0"/>
          <w:sz w:val="32"/>
          <w:szCs w:val="32"/>
        </w:rPr>
        <w:t>（导师制、小班化、个性化、国际化）等有效模式基础上，进一步推动制度创新、模式创新、机制创新，探索基础学科拔尖人才培养的中国方案。坚持国际标准，推动国内外双向合作，注重学科交叉、科教融合，促进学生中西</w:t>
      </w:r>
      <w:proofErr w:type="gramStart"/>
      <w:r w:rsidRPr="00D01282">
        <w:rPr>
          <w:rFonts w:ascii="仿宋_GB2312" w:eastAsia="仿宋_GB2312" w:hAnsi="宋体" w:cs="宋体"/>
          <w:kern w:val="0"/>
          <w:sz w:val="32"/>
          <w:szCs w:val="32"/>
        </w:rPr>
        <w:t>融汇</w:t>
      </w:r>
      <w:proofErr w:type="gramEnd"/>
      <w:r w:rsidRPr="00D01282">
        <w:rPr>
          <w:rFonts w:ascii="仿宋_GB2312" w:eastAsia="仿宋_GB2312" w:hAnsi="宋体" w:cs="宋体"/>
          <w:kern w:val="0"/>
          <w:sz w:val="32"/>
          <w:szCs w:val="32"/>
        </w:rPr>
        <w:t>、古今贯通、文理渗透。</w:t>
      </w:r>
    </w:p>
    <w:p w:rsidR="00161F03" w:rsidRPr="00D01282" w:rsidRDefault="00161F03" w:rsidP="00D77903">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w:t>
      </w:r>
      <w:r w:rsidRPr="00D01282">
        <w:rPr>
          <w:rFonts w:ascii="黑体" w:eastAsia="黑体" w:hAnsi="黑体" w:cs="宋体"/>
          <w:bCs/>
          <w:kern w:val="0"/>
          <w:sz w:val="32"/>
          <w:szCs w:val="32"/>
        </w:rPr>
        <w:t>四、建设任务</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基础学科拔尖学生培养基地是高校实施拔尖计划2.0的具体载体。高校要给予基础学科拔尖学生培养基地充分自主权、配套特殊政策和充足财物保障。基础学科拔尖学生培养基地既可以是高校已经成立以培养拔尖创新人才为重点的试点学院或内设机构，并坚持继续完善；也可以是高校学科</w:t>
      </w:r>
      <w:r w:rsidRPr="00D01282">
        <w:rPr>
          <w:rFonts w:ascii="仿宋_GB2312" w:eastAsia="仿宋_GB2312" w:hAnsi="宋体" w:cs="宋体"/>
          <w:kern w:val="0"/>
          <w:sz w:val="32"/>
          <w:szCs w:val="32"/>
        </w:rPr>
        <w:lastRenderedPageBreak/>
        <w:t>优势突出、教学质量高的二级学院或单位的新设机构；还可以是高校根据承担国家教学、科研任务的需要，组建的跨学科人才培养基地或其他教学实体。基础学科拔尖学生培养基地要坚持学生中心、持续改进的理念，加大拔尖创新人才培养的改革创新力度。</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一）科学选才。强化自主招生，创新遴选方式和评价标准，加强对各类偏才、怪才等学生的全面考察，真正发现志向远大、学术潜力大、综合能力强、心理素质好的优秀学生。不断完善科学化、多阶段的动态进出机制，对进入基地的学生进行综合考查、合理引导、科学分流。</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（二）精心育才。加强思想政治教育和素质教育，培育爱国主义、科学道德、批判精神和创新精神等，使学生明大德、守公德、严私德。加强学科交叉融合，促进中西</w:t>
      </w:r>
      <w:proofErr w:type="gramStart"/>
      <w:r w:rsidRPr="00D01282">
        <w:rPr>
          <w:rFonts w:ascii="仿宋_GB2312" w:eastAsia="仿宋_GB2312" w:hAnsi="宋体" w:cs="宋体"/>
          <w:kern w:val="0"/>
          <w:sz w:val="32"/>
          <w:szCs w:val="32"/>
        </w:rPr>
        <w:t>融汇</w:t>
      </w:r>
      <w:proofErr w:type="gramEnd"/>
      <w:r w:rsidRPr="00D01282">
        <w:rPr>
          <w:rFonts w:ascii="仿宋_GB2312" w:eastAsia="仿宋_GB2312" w:hAnsi="宋体" w:cs="宋体"/>
          <w:kern w:val="0"/>
          <w:sz w:val="32"/>
          <w:szCs w:val="32"/>
        </w:rPr>
        <w:t>、古今贯通、文理渗透。坚持因材施教，突出领域特色和学生特点，定制人才培养方案，灵活教学组织方式，重组教学内容和教学方法。完善学业、科研和生活导师制，给予学生全流程、全方位指导帮助。汇聚全球优质资源，促进学生与国内外学术大师深度接触合作，拓展学生的国际视野和跨文化理解沟通能力。</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（三）厚植土壤。探索新时代书院制，汇古、今、中、外于一处，融浸、养、熏、育为一体，化学问探究和人格养成于一身。探索特色化管理运行机制，实现教授、专家治理</w:t>
      </w:r>
      <w:r w:rsidRPr="00D01282">
        <w:rPr>
          <w:rFonts w:ascii="仿宋_GB2312" w:eastAsia="仿宋_GB2312" w:hAnsi="宋体" w:cs="宋体"/>
          <w:kern w:val="0"/>
          <w:sz w:val="32"/>
          <w:szCs w:val="32"/>
        </w:rPr>
        <w:lastRenderedPageBreak/>
        <w:t>与专业管理团队的有机结合，实现教学管理灵活高效，实现与校内外相关机构的顺畅对接。探索完善评价体系，促进各类教师潜心育人，助力各类学生健康成长、成才。</w:t>
      </w:r>
    </w:p>
    <w:p w:rsidR="00161F03" w:rsidRPr="00D01282" w:rsidRDefault="00161F03" w:rsidP="00D77903">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w:t>
      </w:r>
      <w:r w:rsidRPr="00D01282">
        <w:rPr>
          <w:rFonts w:ascii="黑体" w:eastAsia="黑体" w:hAnsi="黑体" w:cs="宋体"/>
          <w:bCs/>
          <w:kern w:val="0"/>
          <w:sz w:val="32"/>
          <w:szCs w:val="32"/>
        </w:rPr>
        <w:t>五、建设规划</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（一）实施范围。数学、物理学、化学、生物科学、计算机科学、天文学、地理科学、大气科学、海洋科学、地球物理学、地质学、心理学、基础医学、哲学、经济学、中国语言文学、历史学。</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（二）基地数量。2019</w:t>
      </w:r>
      <w:r w:rsidRPr="00D01282">
        <w:rPr>
          <w:rFonts w:ascii="仿宋_GB2312" w:eastAsia="仿宋_GB2312" w:hAnsi="宋体" w:cs="宋体"/>
          <w:kern w:val="0"/>
          <w:sz w:val="32"/>
          <w:szCs w:val="32"/>
        </w:rPr>
        <w:t>—</w:t>
      </w:r>
      <w:r w:rsidRPr="00D01282">
        <w:rPr>
          <w:rFonts w:ascii="仿宋_GB2312" w:eastAsia="仿宋_GB2312" w:hAnsi="宋体" w:cs="宋体"/>
          <w:kern w:val="0"/>
          <w:sz w:val="32"/>
          <w:szCs w:val="32"/>
        </w:rPr>
        <w:t>2021年，拟遴选建设260个基础学科拔尖学生培养基地，包括190个左右的理科基地、60个左右的文科基地以及10个左右的医科基地（分年度规划见附表）。</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（三）培养规模。基础学科拔尖学生培养基地获批建设后，每个基地每年的招生人数原则上不超过20人。</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（四）建设方式。采取高校试点先行、申报遴选、长期支持的方式，按建设规划分年度遴选基础学科拔尖学生培养基地。</w:t>
      </w:r>
    </w:p>
    <w:p w:rsidR="00161F03" w:rsidRPr="00D01282" w:rsidRDefault="00161F03" w:rsidP="00600714">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w:t>
      </w:r>
      <w:r w:rsidRPr="00D01282">
        <w:rPr>
          <w:rFonts w:ascii="黑体" w:eastAsia="黑体" w:hAnsi="黑体" w:cs="宋体"/>
          <w:bCs/>
          <w:kern w:val="0"/>
          <w:sz w:val="32"/>
          <w:szCs w:val="32"/>
        </w:rPr>
        <w:t>六、组织管理</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（一）统筹规划、梯次实施。根据国家经济社会发展长远需求，按照</w:t>
      </w:r>
      <w:r w:rsidRPr="00D01282">
        <w:rPr>
          <w:rFonts w:ascii="仿宋_GB2312" w:eastAsia="仿宋_GB2312" w:hAnsi="宋体" w:cs="宋体"/>
          <w:kern w:val="0"/>
          <w:sz w:val="32"/>
          <w:szCs w:val="32"/>
        </w:rPr>
        <w:t>“</w:t>
      </w:r>
      <w:r w:rsidRPr="00D01282">
        <w:rPr>
          <w:rFonts w:ascii="仿宋_GB2312" w:eastAsia="仿宋_GB2312" w:hAnsi="宋体" w:cs="宋体"/>
          <w:kern w:val="0"/>
          <w:sz w:val="32"/>
          <w:szCs w:val="32"/>
        </w:rPr>
        <w:t>六卓越</w:t>
      </w:r>
      <w:proofErr w:type="gramStart"/>
      <w:r w:rsidRPr="00D01282">
        <w:rPr>
          <w:rFonts w:ascii="仿宋_GB2312" w:eastAsia="仿宋_GB2312" w:hAnsi="宋体" w:cs="宋体"/>
          <w:kern w:val="0"/>
          <w:sz w:val="32"/>
          <w:szCs w:val="32"/>
        </w:rPr>
        <w:t>一</w:t>
      </w:r>
      <w:proofErr w:type="gramEnd"/>
      <w:r w:rsidRPr="00D01282">
        <w:rPr>
          <w:rFonts w:ascii="仿宋_GB2312" w:eastAsia="仿宋_GB2312" w:hAnsi="宋体" w:cs="宋体"/>
          <w:kern w:val="0"/>
          <w:sz w:val="32"/>
          <w:szCs w:val="32"/>
        </w:rPr>
        <w:t>拔尖</w:t>
      </w:r>
      <w:r w:rsidRPr="00D01282">
        <w:rPr>
          <w:rFonts w:ascii="仿宋_GB2312" w:eastAsia="仿宋_GB2312" w:hAnsi="宋体" w:cs="宋体"/>
          <w:kern w:val="0"/>
          <w:sz w:val="32"/>
          <w:szCs w:val="32"/>
        </w:rPr>
        <w:t>”</w:t>
      </w:r>
      <w:r w:rsidRPr="00D01282">
        <w:rPr>
          <w:rFonts w:ascii="仿宋_GB2312" w:eastAsia="仿宋_GB2312" w:hAnsi="宋体" w:cs="宋体"/>
          <w:kern w:val="0"/>
          <w:sz w:val="32"/>
          <w:szCs w:val="32"/>
        </w:rPr>
        <w:t>计划2.0总体实施方案具体安排，教育部负责宏观指导，统筹编制基础学科拔尖学生培养基地建设规划，组建相关工作组织和专家委员会，协调国</w:t>
      </w:r>
      <w:r w:rsidRPr="00D01282">
        <w:rPr>
          <w:rFonts w:ascii="仿宋_GB2312" w:eastAsia="仿宋_GB2312" w:hAnsi="宋体" w:cs="宋体"/>
          <w:kern w:val="0"/>
          <w:sz w:val="32"/>
          <w:szCs w:val="32"/>
        </w:rPr>
        <w:lastRenderedPageBreak/>
        <w:t>家有关部门提供配套政策支持。教育部高等教育司负责具体年度建设工作的部署，组织基础学科拔尖学生培养基地申报遴选；组织或委托相关机构或专家组织开展政策研究、人才培养机制研究等工作，实施基础学科拔尖学生培养基地跟踪监测和综合评价。</w:t>
      </w:r>
    </w:p>
    <w:p w:rsidR="00161F03" w:rsidRPr="00D01282" w:rsidRDefault="00161F03" w:rsidP="00D01282">
      <w:pPr>
        <w:widowControl/>
        <w:spacing w:line="360" w:lineRule="auto"/>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 xml:space="preserve">　　（二）主动作为、改革创新。相关高校是基础学科拔尖学生培养基地的建设主体，要将基地建设纳入学校总体规划，加强组织保障、政策保障和经费保障。要建立健全学生、教师、教学管理制度体系，统筹科学研究、社会实践、国际交流等各类资源，完善经费投入、使用、监管等机制，建设信息化资源和管理平台，形成有利于基础学科拔尖人才培养的优</w:t>
      </w:r>
      <w:proofErr w:type="gramStart"/>
      <w:r w:rsidRPr="00D01282">
        <w:rPr>
          <w:rFonts w:ascii="仿宋_GB2312" w:eastAsia="仿宋_GB2312" w:hAnsi="宋体" w:cs="宋体"/>
          <w:kern w:val="0"/>
          <w:sz w:val="32"/>
          <w:szCs w:val="32"/>
        </w:rPr>
        <w:t>渥</w:t>
      </w:r>
      <w:proofErr w:type="gramEnd"/>
      <w:r w:rsidRPr="00D01282">
        <w:rPr>
          <w:rFonts w:ascii="仿宋_GB2312" w:eastAsia="仿宋_GB2312" w:hAnsi="宋体" w:cs="宋体"/>
          <w:kern w:val="0"/>
          <w:sz w:val="32"/>
          <w:szCs w:val="32"/>
        </w:rPr>
        <w:t xml:space="preserve">环境。对建设质量不高、出现严重问题的基地将进行动态调整。　</w:t>
      </w:r>
    </w:p>
    <w:p w:rsidR="00161F03" w:rsidRPr="00D01282" w:rsidRDefault="00161F03" w:rsidP="00D77903">
      <w:pPr>
        <w:widowControl/>
        <w:spacing w:beforeLines="300" w:line="360" w:lineRule="auto"/>
        <w:ind w:firstLineChars="2050" w:firstLine="6560"/>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教育部</w:t>
      </w:r>
    </w:p>
    <w:p w:rsidR="00AC606A" w:rsidRPr="00D01282" w:rsidRDefault="00161F03" w:rsidP="00D01282">
      <w:pPr>
        <w:widowControl/>
        <w:spacing w:line="360" w:lineRule="auto"/>
        <w:ind w:firstLineChars="1800" w:firstLine="5760"/>
        <w:jc w:val="left"/>
        <w:rPr>
          <w:rFonts w:ascii="仿宋_GB2312" w:eastAsia="仿宋_GB2312" w:hAnsi="宋体" w:cs="宋体"/>
          <w:kern w:val="0"/>
          <w:sz w:val="32"/>
          <w:szCs w:val="32"/>
        </w:rPr>
      </w:pPr>
      <w:r w:rsidRPr="00D01282">
        <w:rPr>
          <w:rFonts w:ascii="仿宋_GB2312" w:eastAsia="仿宋_GB2312" w:hAnsi="宋体" w:cs="宋体"/>
          <w:kern w:val="0"/>
          <w:sz w:val="32"/>
          <w:szCs w:val="32"/>
        </w:rPr>
        <w:t>2019年8月20日</w:t>
      </w:r>
    </w:p>
    <w:p w:rsidR="009E37DC" w:rsidRDefault="009E37DC" w:rsidP="009E37DC">
      <w:pPr>
        <w:widowControl/>
        <w:jc w:val="left"/>
        <w:rPr>
          <w:rFonts w:ascii="仿宋_GB2312" w:eastAsia="仿宋_GB2312" w:hAnsi="宋体" w:cs="宋体"/>
          <w:kern w:val="0"/>
          <w:sz w:val="32"/>
          <w:szCs w:val="32"/>
        </w:rPr>
      </w:pPr>
    </w:p>
    <w:p w:rsidR="009E37DC" w:rsidRDefault="009E37DC" w:rsidP="009E37DC">
      <w:pPr>
        <w:widowControl/>
        <w:jc w:val="left"/>
        <w:rPr>
          <w:rFonts w:ascii="仿宋_GB2312" w:eastAsia="仿宋_GB2312" w:hAnsi="宋体" w:cs="宋体"/>
          <w:kern w:val="0"/>
          <w:sz w:val="32"/>
          <w:szCs w:val="32"/>
        </w:rPr>
      </w:pPr>
    </w:p>
    <w:p w:rsidR="009E37DC" w:rsidRDefault="009E37DC" w:rsidP="009E37DC">
      <w:pPr>
        <w:widowControl/>
        <w:jc w:val="left"/>
        <w:rPr>
          <w:rFonts w:ascii="仿宋_GB2312" w:eastAsia="仿宋_GB2312" w:hAnsi="宋体" w:cs="宋体"/>
          <w:kern w:val="0"/>
          <w:sz w:val="32"/>
          <w:szCs w:val="32"/>
        </w:rPr>
      </w:pPr>
    </w:p>
    <w:p w:rsidR="009E37DC" w:rsidRDefault="009E37DC" w:rsidP="009E37DC">
      <w:pPr>
        <w:widowControl/>
        <w:jc w:val="left"/>
        <w:rPr>
          <w:rFonts w:ascii="仿宋_GB2312" w:eastAsia="仿宋_GB2312" w:hAnsi="宋体" w:cs="宋体"/>
          <w:kern w:val="0"/>
          <w:sz w:val="32"/>
          <w:szCs w:val="32"/>
        </w:rPr>
      </w:pPr>
    </w:p>
    <w:p w:rsidR="009E37DC" w:rsidRDefault="009E37DC" w:rsidP="009E37DC">
      <w:pPr>
        <w:widowControl/>
        <w:jc w:val="left"/>
        <w:rPr>
          <w:rFonts w:ascii="仿宋_GB2312" w:eastAsia="仿宋_GB2312" w:hAnsi="宋体" w:cs="宋体" w:hint="eastAsia"/>
          <w:kern w:val="0"/>
          <w:sz w:val="32"/>
          <w:szCs w:val="32"/>
        </w:rPr>
      </w:pPr>
    </w:p>
    <w:p w:rsidR="00D77903" w:rsidRDefault="00D77903" w:rsidP="009E37DC">
      <w:pPr>
        <w:widowControl/>
        <w:jc w:val="left"/>
        <w:rPr>
          <w:rFonts w:ascii="仿宋_GB2312" w:eastAsia="仿宋_GB2312" w:hAnsi="宋体" w:cs="宋体"/>
          <w:kern w:val="0"/>
          <w:sz w:val="32"/>
          <w:szCs w:val="32"/>
        </w:rPr>
      </w:pPr>
    </w:p>
    <w:p w:rsidR="009E37DC" w:rsidRPr="009E37DC" w:rsidRDefault="009E37DC" w:rsidP="009E37DC">
      <w:pPr>
        <w:widowControl/>
        <w:jc w:val="left"/>
        <w:rPr>
          <w:rFonts w:ascii="仿宋_GB2312" w:eastAsia="仿宋_GB2312" w:hAnsi="宋体" w:cs="宋体"/>
          <w:kern w:val="0"/>
          <w:sz w:val="24"/>
        </w:rPr>
      </w:pPr>
      <w:r w:rsidRPr="009E37DC">
        <w:rPr>
          <w:rFonts w:ascii="仿宋_GB2312" w:eastAsia="仿宋_GB2312" w:hAnsi="宋体" w:cs="宋体" w:hint="eastAsia"/>
          <w:kern w:val="0"/>
          <w:sz w:val="24"/>
        </w:rPr>
        <w:lastRenderedPageBreak/>
        <w:t>附表</w:t>
      </w:r>
    </w:p>
    <w:p w:rsidR="009E37DC" w:rsidRPr="009E37DC" w:rsidRDefault="009E37DC" w:rsidP="009E37DC">
      <w:pPr>
        <w:widowControl/>
        <w:spacing w:before="100" w:beforeAutospacing="1" w:after="100" w:afterAutospacing="1"/>
        <w:jc w:val="center"/>
        <w:rPr>
          <w:rFonts w:ascii="方正小标宋简体" w:eastAsia="方正小标宋简体" w:hAnsi="宋体" w:cs="宋体"/>
          <w:kern w:val="0"/>
          <w:sz w:val="32"/>
          <w:szCs w:val="32"/>
        </w:rPr>
      </w:pPr>
      <w:r w:rsidRPr="009E37DC">
        <w:rPr>
          <w:rFonts w:ascii="方正小标宋简体" w:eastAsia="方正小标宋简体" w:hAnsi="宋体" w:cs="宋体" w:hint="eastAsia"/>
          <w:b/>
          <w:bCs/>
          <w:kern w:val="0"/>
          <w:sz w:val="32"/>
          <w:szCs w:val="32"/>
        </w:rPr>
        <w:t>2019—2021年基础学科拔尖学生培养基地建设规划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6"/>
        <w:gridCol w:w="1807"/>
        <w:gridCol w:w="1807"/>
        <w:gridCol w:w="1146"/>
        <w:gridCol w:w="1146"/>
        <w:gridCol w:w="1144"/>
      </w:tblGrid>
      <w:tr w:rsidR="009E37DC" w:rsidRPr="009E37DC" w:rsidTr="009E37DC">
        <w:trPr>
          <w:trHeight w:val="20"/>
          <w:tblHeader/>
          <w:jc w:val="center"/>
        </w:trPr>
        <w:tc>
          <w:tcPr>
            <w:tcW w:w="1907" w:type="pct"/>
            <w:gridSpan w:val="2"/>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156" w:lineRule="atLeast"/>
              <w:jc w:val="center"/>
              <w:rPr>
                <w:rFonts w:ascii="仿宋_GB2312" w:eastAsia="仿宋_GB2312" w:hAnsi="宋体" w:cs="宋体"/>
                <w:kern w:val="0"/>
                <w:sz w:val="24"/>
              </w:rPr>
            </w:pPr>
            <w:r w:rsidRPr="009E37DC">
              <w:rPr>
                <w:rFonts w:ascii="仿宋_GB2312" w:eastAsia="仿宋_GB2312" w:hAnsi="宋体" w:cs="宋体" w:hint="eastAsia"/>
                <w:kern w:val="0"/>
                <w:sz w:val="24"/>
              </w:rPr>
              <w:t>建设范围</w:t>
            </w:r>
          </w:p>
        </w:tc>
        <w:tc>
          <w:tcPr>
            <w:tcW w:w="106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156" w:lineRule="atLeast"/>
              <w:jc w:val="center"/>
              <w:rPr>
                <w:rFonts w:ascii="仿宋_GB2312" w:eastAsia="仿宋_GB2312" w:hAnsi="宋体" w:cs="宋体"/>
                <w:kern w:val="0"/>
                <w:sz w:val="24"/>
              </w:rPr>
            </w:pPr>
            <w:r w:rsidRPr="009E37DC">
              <w:rPr>
                <w:rFonts w:ascii="仿宋_GB2312" w:eastAsia="仿宋_GB2312" w:hAnsi="宋体" w:cs="宋体" w:hint="eastAsia"/>
                <w:kern w:val="0"/>
                <w:sz w:val="24"/>
              </w:rPr>
              <w:t>建设规划</w:t>
            </w:r>
          </w:p>
        </w:tc>
        <w:tc>
          <w:tcPr>
            <w:tcW w:w="2028" w:type="pct"/>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156" w:lineRule="atLeast"/>
              <w:jc w:val="center"/>
              <w:rPr>
                <w:rFonts w:ascii="仿宋_GB2312" w:eastAsia="仿宋_GB2312" w:hAnsi="宋体" w:cs="宋体"/>
                <w:kern w:val="0"/>
                <w:sz w:val="24"/>
              </w:rPr>
            </w:pPr>
            <w:r w:rsidRPr="009E37DC">
              <w:rPr>
                <w:rFonts w:ascii="仿宋_GB2312" w:eastAsia="仿宋_GB2312" w:hAnsi="宋体" w:cs="宋体" w:hint="eastAsia"/>
                <w:kern w:val="0"/>
                <w:sz w:val="24"/>
              </w:rPr>
              <w:t>分年度建设规划</w:t>
            </w:r>
          </w:p>
        </w:tc>
      </w:tr>
      <w:tr w:rsidR="009E37DC" w:rsidRPr="009E37DC" w:rsidTr="009E37DC">
        <w:trPr>
          <w:trHeight w:val="2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67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156" w:lineRule="atLeast"/>
              <w:jc w:val="center"/>
              <w:rPr>
                <w:rFonts w:ascii="仿宋_GB2312" w:eastAsia="仿宋_GB2312" w:hAnsi="宋体" w:cs="宋体"/>
                <w:kern w:val="0"/>
                <w:sz w:val="24"/>
              </w:rPr>
            </w:pPr>
            <w:r w:rsidRPr="009E37DC">
              <w:rPr>
                <w:rFonts w:ascii="仿宋_GB2312" w:eastAsia="仿宋_GB2312" w:hAnsi="宋体" w:cs="宋体" w:hint="eastAsia"/>
                <w:kern w:val="0"/>
                <w:sz w:val="24"/>
              </w:rPr>
              <w:t>2019年</w:t>
            </w:r>
          </w:p>
        </w:tc>
        <w:tc>
          <w:tcPr>
            <w:tcW w:w="67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156" w:lineRule="atLeast"/>
              <w:jc w:val="center"/>
              <w:rPr>
                <w:rFonts w:ascii="仿宋_GB2312" w:eastAsia="仿宋_GB2312" w:hAnsi="宋体" w:cs="宋体"/>
                <w:kern w:val="0"/>
                <w:sz w:val="24"/>
              </w:rPr>
            </w:pPr>
            <w:r w:rsidRPr="009E37DC">
              <w:rPr>
                <w:rFonts w:ascii="仿宋_GB2312" w:eastAsia="仿宋_GB2312" w:hAnsi="宋体" w:cs="宋体" w:hint="eastAsia"/>
                <w:kern w:val="0"/>
                <w:sz w:val="24"/>
              </w:rPr>
              <w:t>2020年</w:t>
            </w:r>
          </w:p>
        </w:tc>
        <w:tc>
          <w:tcPr>
            <w:tcW w:w="675"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156" w:lineRule="atLeast"/>
              <w:jc w:val="center"/>
              <w:rPr>
                <w:rFonts w:ascii="仿宋_GB2312" w:eastAsia="仿宋_GB2312" w:hAnsi="宋体" w:cs="宋体"/>
                <w:kern w:val="0"/>
                <w:sz w:val="24"/>
              </w:rPr>
            </w:pPr>
            <w:r w:rsidRPr="009E37DC">
              <w:rPr>
                <w:rFonts w:ascii="仿宋_GB2312" w:eastAsia="仿宋_GB2312" w:hAnsi="宋体" w:cs="宋体" w:hint="eastAsia"/>
                <w:kern w:val="0"/>
                <w:sz w:val="24"/>
              </w:rPr>
              <w:t>2021年</w:t>
            </w:r>
          </w:p>
        </w:tc>
      </w:tr>
      <w:tr w:rsidR="009E37DC" w:rsidRPr="009E37DC" w:rsidTr="009E37DC">
        <w:trPr>
          <w:trHeight w:val="20"/>
          <w:jc w:val="center"/>
        </w:trPr>
        <w:tc>
          <w:tcPr>
            <w:tcW w:w="84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理科基地</w:t>
            </w: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数学</w:t>
            </w:r>
          </w:p>
        </w:tc>
        <w:tc>
          <w:tcPr>
            <w:tcW w:w="106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155</w:t>
            </w:r>
          </w:p>
        </w:tc>
        <w:tc>
          <w:tcPr>
            <w:tcW w:w="67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60</w:t>
            </w:r>
          </w:p>
        </w:tc>
        <w:tc>
          <w:tcPr>
            <w:tcW w:w="67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50</w:t>
            </w:r>
          </w:p>
        </w:tc>
        <w:tc>
          <w:tcPr>
            <w:tcW w:w="6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45</w:t>
            </w: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物理学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化学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生物科学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计算机科学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天文学</w:t>
            </w:r>
          </w:p>
        </w:tc>
        <w:tc>
          <w:tcPr>
            <w:tcW w:w="106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35</w:t>
            </w:r>
          </w:p>
        </w:tc>
        <w:tc>
          <w:tcPr>
            <w:tcW w:w="67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15</w:t>
            </w:r>
          </w:p>
        </w:tc>
        <w:tc>
          <w:tcPr>
            <w:tcW w:w="67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12</w:t>
            </w:r>
          </w:p>
        </w:tc>
        <w:tc>
          <w:tcPr>
            <w:tcW w:w="6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8</w:t>
            </w: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地理科学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大气科学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海洋科学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地球物理学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地质学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心理学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84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医科基地</w:t>
            </w: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基础医学</w:t>
            </w: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10</w:t>
            </w:r>
          </w:p>
        </w:tc>
        <w:tc>
          <w:tcPr>
            <w:tcW w:w="67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5</w:t>
            </w:r>
          </w:p>
        </w:tc>
        <w:tc>
          <w:tcPr>
            <w:tcW w:w="67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3</w:t>
            </w:r>
          </w:p>
        </w:tc>
        <w:tc>
          <w:tcPr>
            <w:tcW w:w="675"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2</w:t>
            </w:r>
          </w:p>
        </w:tc>
      </w:tr>
      <w:tr w:rsidR="009E37DC" w:rsidRPr="009E37DC" w:rsidTr="009E37DC">
        <w:trPr>
          <w:trHeight w:val="20"/>
          <w:jc w:val="center"/>
        </w:trPr>
        <w:tc>
          <w:tcPr>
            <w:tcW w:w="84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文科基地</w:t>
            </w: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哲学</w:t>
            </w:r>
          </w:p>
        </w:tc>
        <w:tc>
          <w:tcPr>
            <w:tcW w:w="106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60</w:t>
            </w:r>
          </w:p>
        </w:tc>
        <w:tc>
          <w:tcPr>
            <w:tcW w:w="67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20</w:t>
            </w:r>
          </w:p>
        </w:tc>
        <w:tc>
          <w:tcPr>
            <w:tcW w:w="676"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20</w:t>
            </w:r>
          </w:p>
        </w:tc>
        <w:tc>
          <w:tcPr>
            <w:tcW w:w="6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line="360" w:lineRule="auto"/>
              <w:jc w:val="center"/>
              <w:rPr>
                <w:rFonts w:ascii="仿宋_GB2312" w:eastAsia="仿宋_GB2312" w:hAnsi="宋体" w:cs="宋体"/>
                <w:kern w:val="0"/>
                <w:sz w:val="24"/>
              </w:rPr>
            </w:pPr>
            <w:r w:rsidRPr="009E37DC">
              <w:rPr>
                <w:rFonts w:ascii="仿宋_GB2312" w:eastAsia="仿宋_GB2312" w:hAnsi="宋体" w:cs="宋体" w:hint="eastAsia"/>
                <w:kern w:val="0"/>
                <w:sz w:val="24"/>
              </w:rPr>
              <w:t>20</w:t>
            </w: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经济学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中国语言文学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pacing w:before="100" w:beforeAutospacing="1" w:after="100" w:afterAutospacing="1"/>
              <w:jc w:val="left"/>
              <w:rPr>
                <w:rFonts w:ascii="仿宋_GB2312" w:eastAsia="仿宋_GB2312" w:hAnsi="宋体" w:cs="宋体"/>
                <w:kern w:val="0"/>
                <w:sz w:val="24"/>
              </w:rPr>
            </w:pPr>
            <w:r w:rsidRPr="009E37DC">
              <w:rPr>
                <w:rFonts w:ascii="仿宋_GB2312" w:eastAsia="仿宋_GB2312" w:hAnsi="宋体" w:cs="宋体" w:hint="eastAsia"/>
                <w:kern w:val="0"/>
                <w:sz w:val="24"/>
              </w:rPr>
              <w:t>历史学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37DC" w:rsidRPr="009E37DC" w:rsidRDefault="009E37DC" w:rsidP="009E37DC">
            <w:pPr>
              <w:widowControl/>
              <w:jc w:val="left"/>
              <w:rPr>
                <w:rFonts w:ascii="仿宋_GB2312" w:eastAsia="仿宋_GB2312" w:hAnsi="宋体" w:cs="宋体"/>
                <w:kern w:val="0"/>
                <w:sz w:val="24"/>
              </w:rPr>
            </w:pPr>
          </w:p>
        </w:tc>
      </w:tr>
      <w:tr w:rsidR="009E37DC" w:rsidRPr="009E37DC" w:rsidTr="009E37DC">
        <w:trPr>
          <w:trHeight w:val="20"/>
          <w:jc w:val="center"/>
        </w:trPr>
        <w:tc>
          <w:tcPr>
            <w:tcW w:w="190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b/>
                <w:bCs/>
                <w:kern w:val="0"/>
                <w:sz w:val="24"/>
              </w:rPr>
              <w:t>总计</w:t>
            </w:r>
          </w:p>
        </w:tc>
        <w:tc>
          <w:tcPr>
            <w:tcW w:w="106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260</w:t>
            </w:r>
          </w:p>
        </w:tc>
        <w:tc>
          <w:tcPr>
            <w:tcW w:w="67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100</w:t>
            </w:r>
          </w:p>
        </w:tc>
        <w:tc>
          <w:tcPr>
            <w:tcW w:w="67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85</w:t>
            </w:r>
          </w:p>
        </w:tc>
        <w:tc>
          <w:tcPr>
            <w:tcW w:w="675"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9E37DC" w:rsidRPr="009E37DC" w:rsidRDefault="009E37DC" w:rsidP="009E37DC">
            <w:pPr>
              <w:widowControl/>
              <w:snapToGrid w:val="0"/>
              <w:spacing w:before="100" w:beforeAutospacing="1" w:after="100" w:afterAutospacing="1"/>
              <w:jc w:val="center"/>
              <w:rPr>
                <w:rFonts w:ascii="仿宋_GB2312" w:eastAsia="仿宋_GB2312" w:hAnsi="宋体" w:cs="宋体"/>
                <w:kern w:val="0"/>
                <w:sz w:val="24"/>
              </w:rPr>
            </w:pPr>
            <w:r w:rsidRPr="009E37DC">
              <w:rPr>
                <w:rFonts w:ascii="仿宋_GB2312" w:eastAsia="仿宋_GB2312" w:hAnsi="宋体" w:cs="宋体" w:hint="eastAsia"/>
                <w:kern w:val="0"/>
                <w:sz w:val="24"/>
              </w:rPr>
              <w:t>75</w:t>
            </w:r>
          </w:p>
        </w:tc>
      </w:tr>
    </w:tbl>
    <w:p w:rsidR="009E37DC" w:rsidRPr="009E37DC" w:rsidRDefault="009E37DC" w:rsidP="009E37DC">
      <w:pPr>
        <w:widowControl/>
        <w:spacing w:before="100" w:beforeAutospacing="1" w:after="100" w:afterAutospacing="1"/>
        <w:jc w:val="left"/>
        <w:rPr>
          <w:rFonts w:ascii="宋体" w:hAnsi="宋体" w:cs="宋体"/>
          <w:kern w:val="0"/>
          <w:sz w:val="24"/>
        </w:rPr>
      </w:pPr>
      <w:r w:rsidRPr="009E37DC">
        <w:rPr>
          <w:rFonts w:ascii="楷体" w:eastAsia="楷体" w:hAnsi="楷体" w:cs="宋体"/>
          <w:kern w:val="0"/>
          <w:sz w:val="24"/>
        </w:rPr>
        <w:t>注：分年度建设规划将根据高校建设情况、建设质量和建设进度等因素做适当调整。</w:t>
      </w:r>
    </w:p>
    <w:sectPr w:rsidR="009E37DC" w:rsidRPr="009E37DC" w:rsidSect="00FB4C8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606" w:rsidRDefault="00431606" w:rsidP="00404985">
      <w:r>
        <w:separator/>
      </w:r>
    </w:p>
  </w:endnote>
  <w:endnote w:type="continuationSeparator" w:id="0">
    <w:p w:rsidR="00431606" w:rsidRDefault="00431606" w:rsidP="00404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82" w:rsidRDefault="00D0128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82" w:rsidRDefault="00D0128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82" w:rsidRDefault="00D012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606" w:rsidRDefault="00431606" w:rsidP="00404985">
      <w:r>
        <w:separator/>
      </w:r>
    </w:p>
  </w:footnote>
  <w:footnote w:type="continuationSeparator" w:id="0">
    <w:p w:rsidR="00431606" w:rsidRDefault="00431606" w:rsidP="00404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82" w:rsidRDefault="00D0128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85" w:rsidRDefault="00404985" w:rsidP="00D01282">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82" w:rsidRDefault="00D0128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F03"/>
    <w:rsid w:val="000D4844"/>
    <w:rsid w:val="00135A59"/>
    <w:rsid w:val="00150298"/>
    <w:rsid w:val="0015481C"/>
    <w:rsid w:val="00161F03"/>
    <w:rsid w:val="00246B54"/>
    <w:rsid w:val="00247292"/>
    <w:rsid w:val="00253B8B"/>
    <w:rsid w:val="002B0226"/>
    <w:rsid w:val="003312A0"/>
    <w:rsid w:val="003F4409"/>
    <w:rsid w:val="00404985"/>
    <w:rsid w:val="00431606"/>
    <w:rsid w:val="00477791"/>
    <w:rsid w:val="004B1A00"/>
    <w:rsid w:val="00513FCC"/>
    <w:rsid w:val="00521168"/>
    <w:rsid w:val="00600714"/>
    <w:rsid w:val="00641DB3"/>
    <w:rsid w:val="006854D5"/>
    <w:rsid w:val="006B0EB1"/>
    <w:rsid w:val="006F171B"/>
    <w:rsid w:val="006F4714"/>
    <w:rsid w:val="00747637"/>
    <w:rsid w:val="007A069C"/>
    <w:rsid w:val="00801E79"/>
    <w:rsid w:val="00927A14"/>
    <w:rsid w:val="009E37DC"/>
    <w:rsid w:val="009E59D1"/>
    <w:rsid w:val="00A92E8C"/>
    <w:rsid w:val="00AC606A"/>
    <w:rsid w:val="00B66363"/>
    <w:rsid w:val="00B71F0C"/>
    <w:rsid w:val="00C00EDE"/>
    <w:rsid w:val="00C15BCE"/>
    <w:rsid w:val="00C503E1"/>
    <w:rsid w:val="00CA3374"/>
    <w:rsid w:val="00D01282"/>
    <w:rsid w:val="00D610D4"/>
    <w:rsid w:val="00D67EAF"/>
    <w:rsid w:val="00D77903"/>
    <w:rsid w:val="00D815F7"/>
    <w:rsid w:val="00D9710A"/>
    <w:rsid w:val="00D97CD1"/>
    <w:rsid w:val="00DA3959"/>
    <w:rsid w:val="00DA6438"/>
    <w:rsid w:val="00E016C4"/>
    <w:rsid w:val="00E04339"/>
    <w:rsid w:val="00E24EB7"/>
    <w:rsid w:val="00E8054F"/>
    <w:rsid w:val="00E8655B"/>
    <w:rsid w:val="00EF3D9D"/>
    <w:rsid w:val="00F02AEF"/>
    <w:rsid w:val="00F557D3"/>
    <w:rsid w:val="00F93634"/>
    <w:rsid w:val="00FB4C83"/>
    <w:rsid w:val="00FE66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C83"/>
    <w:pPr>
      <w:widowControl w:val="0"/>
      <w:jc w:val="both"/>
    </w:pPr>
    <w:rPr>
      <w:kern w:val="2"/>
      <w:sz w:val="21"/>
      <w:szCs w:val="24"/>
    </w:rPr>
  </w:style>
  <w:style w:type="paragraph" w:styleId="1">
    <w:name w:val="heading 1"/>
    <w:basedOn w:val="a"/>
    <w:link w:val="1Char"/>
    <w:uiPriority w:val="9"/>
    <w:qFormat/>
    <w:rsid w:val="00161F0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1F03"/>
    <w:rPr>
      <w:rFonts w:ascii="宋体" w:hAnsi="宋体" w:cs="宋体"/>
      <w:b/>
      <w:bCs/>
      <w:kern w:val="36"/>
      <w:sz w:val="48"/>
      <w:szCs w:val="48"/>
    </w:rPr>
  </w:style>
  <w:style w:type="paragraph" w:styleId="a3">
    <w:name w:val="Normal (Web)"/>
    <w:basedOn w:val="a"/>
    <w:uiPriority w:val="99"/>
    <w:unhideWhenUsed/>
    <w:rsid w:val="00161F03"/>
    <w:pPr>
      <w:widowControl/>
      <w:spacing w:before="100" w:beforeAutospacing="1" w:after="100" w:afterAutospacing="1"/>
      <w:jc w:val="left"/>
    </w:pPr>
    <w:rPr>
      <w:rFonts w:ascii="宋体" w:hAnsi="宋体" w:cs="宋体"/>
      <w:kern w:val="0"/>
      <w:sz w:val="24"/>
    </w:rPr>
  </w:style>
  <w:style w:type="paragraph" w:styleId="a4">
    <w:name w:val="Date"/>
    <w:basedOn w:val="a"/>
    <w:next w:val="a"/>
    <w:link w:val="Char"/>
    <w:rsid w:val="009E37DC"/>
    <w:pPr>
      <w:ind w:leftChars="2500" w:left="100"/>
    </w:pPr>
  </w:style>
  <w:style w:type="character" w:customStyle="1" w:styleId="Char">
    <w:name w:val="日期 Char"/>
    <w:basedOn w:val="a0"/>
    <w:link w:val="a4"/>
    <w:rsid w:val="009E37DC"/>
    <w:rPr>
      <w:kern w:val="2"/>
      <w:sz w:val="21"/>
      <w:szCs w:val="24"/>
    </w:rPr>
  </w:style>
  <w:style w:type="paragraph" w:styleId="a5">
    <w:name w:val="header"/>
    <w:basedOn w:val="a"/>
    <w:link w:val="Char0"/>
    <w:rsid w:val="004049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04985"/>
    <w:rPr>
      <w:kern w:val="2"/>
      <w:sz w:val="18"/>
      <w:szCs w:val="18"/>
    </w:rPr>
  </w:style>
  <w:style w:type="paragraph" w:styleId="a6">
    <w:name w:val="footer"/>
    <w:basedOn w:val="a"/>
    <w:link w:val="Char1"/>
    <w:rsid w:val="00404985"/>
    <w:pPr>
      <w:tabs>
        <w:tab w:val="center" w:pos="4153"/>
        <w:tab w:val="right" w:pos="8306"/>
      </w:tabs>
      <w:snapToGrid w:val="0"/>
      <w:jc w:val="left"/>
    </w:pPr>
    <w:rPr>
      <w:sz w:val="18"/>
      <w:szCs w:val="18"/>
    </w:rPr>
  </w:style>
  <w:style w:type="character" w:customStyle="1" w:styleId="Char1">
    <w:name w:val="页脚 Char"/>
    <w:basedOn w:val="a0"/>
    <w:link w:val="a6"/>
    <w:rsid w:val="00404985"/>
    <w:rPr>
      <w:kern w:val="2"/>
      <w:sz w:val="18"/>
      <w:szCs w:val="18"/>
    </w:rPr>
  </w:style>
</w:styles>
</file>

<file path=word/webSettings.xml><?xml version="1.0" encoding="utf-8"?>
<w:webSettings xmlns:r="http://schemas.openxmlformats.org/officeDocument/2006/relationships" xmlns:w="http://schemas.openxmlformats.org/wordprocessingml/2006/main">
  <w:divs>
    <w:div w:id="629018226">
      <w:bodyDiv w:val="1"/>
      <w:marLeft w:val="0"/>
      <w:marRight w:val="0"/>
      <w:marTop w:val="0"/>
      <w:marBottom w:val="0"/>
      <w:divBdr>
        <w:top w:val="none" w:sz="0" w:space="0" w:color="auto"/>
        <w:left w:val="none" w:sz="0" w:space="0" w:color="auto"/>
        <w:bottom w:val="none" w:sz="0" w:space="0" w:color="auto"/>
        <w:right w:val="none" w:sz="0" w:space="0" w:color="auto"/>
      </w:divBdr>
      <w:divsChild>
        <w:div w:id="153878619">
          <w:marLeft w:val="0"/>
          <w:marRight w:val="0"/>
          <w:marTop w:val="0"/>
          <w:marBottom w:val="0"/>
          <w:divBdr>
            <w:top w:val="none" w:sz="0" w:space="0" w:color="auto"/>
            <w:left w:val="none" w:sz="0" w:space="0" w:color="auto"/>
            <w:bottom w:val="none" w:sz="0" w:space="0" w:color="auto"/>
            <w:right w:val="none" w:sz="0" w:space="0" w:color="auto"/>
          </w:divBdr>
        </w:div>
      </w:divsChild>
    </w:div>
    <w:div w:id="19205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462</Words>
  <Characters>2640</Characters>
  <Application>Microsoft Office Word</Application>
  <DocSecurity>0</DocSecurity>
  <Lines>22</Lines>
  <Paragraphs>6</Paragraphs>
  <ScaleCrop>false</ScaleCrop>
  <Company> </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2019-09-03T02:25:00Z</cp:lastPrinted>
  <dcterms:created xsi:type="dcterms:W3CDTF">2019-09-03T02:10:00Z</dcterms:created>
  <dcterms:modified xsi:type="dcterms:W3CDTF">2019-09-03T05:08:00Z</dcterms:modified>
</cp:coreProperties>
</file>